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B" w:rsidRPr="004935FB" w:rsidRDefault="004935FB" w:rsidP="0049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35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PROGETTI</w:t>
      </w:r>
      <w:proofErr w:type="gramStart"/>
      <w:r w:rsidRPr="004935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proofErr w:type="gramEnd"/>
      <w:r w:rsidRPr="004935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NORMATIVA CORSI F VENEZIA GIULIA</w:t>
      </w:r>
    </w:p>
    <w:p w:rsidR="004935FB" w:rsidRDefault="004935FB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Start w:id="0" w:name="_GoBack"/>
    <w:bookmarkEnd w:id="0"/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fldChar w:fldCharType="begin"/>
      </w:r>
      <w:r>
        <w:instrText xml:space="preserve"> HYPERLINK "http://www.scuola.fvg.it/usr/fvg/USRFVG/Progetti_scuola/integraz</w:instrText>
      </w:r>
      <w:r>
        <w:instrText xml:space="preserve">ione/DSA/index.html" </w:instrText>
      </w:r>
      <w:r>
        <w:fldChar w:fldCharType="separate"/>
      </w:r>
      <w:r w:rsidR="004935FB" w:rsidRPr="004935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>I Disturbi Specifici dell’Apprendimento (D.S.A.) (100%)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fldChar w:fldCharType="end"/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nota USR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11818 del 23 09 2011 (file pdf 47 kb)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Indicazioni operative Link alla pagina dedicata al corso di formazione tenutosi i giorni 1,8,15 aprile 2011 referente: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Link ... /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Master/Corso di aggiornamento “Didattica e psicopatologia per i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pagina relativa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lla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rilevazione degli alunni con diagnosi di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Decreto Ministeriale 12 luglio 2011 nr . 5669 ... Disturbi Specifici dell’Apprendimento (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) Legge nr 170 del 8.10.2010 (file pdf 62 kb) 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12-mar-2013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14.31.45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4237C" w:rsidRPr="0094237C" w:rsidRDefault="00A01879" w:rsidP="0094237C">
      <w:pPr>
        <w:pStyle w:val="Titolo3"/>
      </w:pPr>
      <w:r>
        <w:fldChar w:fldCharType="begin"/>
      </w:r>
      <w:r>
        <w:instrText xml:space="preserve"> HYPERLINK "http://www.scuola.fvg.it/usr/fvg/USRFVG/Progetti_scuola/integrazione/DSA/protocollo_intesa_dsa.html" </w:instrText>
      </w:r>
      <w:r>
        <w:fldChar w:fldCharType="separate"/>
      </w:r>
      <w:r w:rsidR="004935FB" w:rsidRPr="004935FB">
        <w:rPr>
          <w:color w:val="0000FF"/>
          <w:sz w:val="24"/>
          <w:szCs w:val="24"/>
          <w:u w:val="single"/>
        </w:rPr>
        <w:t>Protocollo d'</w:t>
      </w:r>
      <w:proofErr w:type="spellStart"/>
      <w:proofErr w:type="gramStart"/>
      <w:r w:rsidR="004935FB" w:rsidRPr="004935FB">
        <w:rPr>
          <w:color w:val="0000FF"/>
          <w:sz w:val="24"/>
          <w:szCs w:val="24"/>
          <w:u w:val="single"/>
        </w:rPr>
        <w:t>intesa</w:t>
      </w:r>
      <w:r w:rsidR="0094237C" w:rsidRPr="0094237C">
        <w:t>Protocollo</w:t>
      </w:r>
      <w:proofErr w:type="spellEnd"/>
      <w:proofErr w:type="gramEnd"/>
      <w:r w:rsidR="0094237C" w:rsidRPr="0094237C">
        <w:t xml:space="preserve"> d'intesa per il riconoscimento precoce dei DSA</w:t>
      </w:r>
    </w:p>
    <w:p w:rsidR="0094237C" w:rsidRPr="0094237C" w:rsidRDefault="0094237C" w:rsidP="0094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15 novembre 2011 </w:t>
      </w:r>
      <w:proofErr w:type="spellStart"/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sottoscritto un protocollo d’intesa tra Ufficio Scolastico Regionale, IRCCS Burlo Garofolo di Trieste, Facoltà di Scienze della Formazione di Trieste e Associazione Italiana Dislessia finalizzato a promuovere e a sostenere gli interventi scolastici per il riconoscimento precoce dei disturbi specifici dell’apprendimento e le misure a sostegno del successo formativo degli alunni frequentanti le scuole di ogni ordine e grado della regione.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Parte integrante del presente protocollo è lo schema di Piano Didattico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Personalizzato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distinto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due sezioni: Scuola primaria e Scuola secondaria, mediante il quale s’i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ntende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offrire alle scuole un modello condiviso e omogeneo sul territorio regionale.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Linee Guida allegate al Decreto del Ministero dell’Istruzione, dell’Università e della Ricerca, </w:t>
      </w:r>
      <w:proofErr w:type="spellStart"/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5669 del 12 luglio 2011, prevedono, infatti, che le istituzioni scolastiche garantiscano agli alunni con DSA una didattica individualizzata e personalizzata,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idonei strumenti compensativi e misure dispensative, esplicitando e formalizzando, entro il primo trimestre di scuola, un documento utile sia alla continuità didattica che alla condivisione con le famiglie delle iniziative che si intendono intraprendere.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Particolare importanza riveste inoltre il rapporto con le famiglie, che 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necessitano di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informate con professionalità e costanza sulle strategie didattiche adottate dagli insegnanti,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modalità di verifica e sui risultasti attesi e ottenuti.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riguarda l’individuazione degli alunni con DSA, si 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ribadisce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ai sensi dell’a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rt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. 3, c. 1, della legge 170/10, la diagnosi è effettuata dal Servizio Sanitario Nazionale e dalle Strutture sanitarie accreditate in ambito regionale.</w:t>
      </w:r>
    </w:p>
    <w:p w:rsidR="0094237C" w:rsidRPr="0094237C" w:rsidRDefault="009E6C8D" w:rsidP="0094237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Protocollo d'intesa (file pdf 90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Protocollo d'intesa (file pdf 90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Piano Didattico Personalizzato Scuola primaria (file word 384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Piano Didattico Personalizzato Scuola primaria (file word 384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ooltip="Piano Didattico Personalizzato Scuola secondaria (file word 387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Piano Didattico Personalizzato Scuola secondaria (file word 387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ooltip="nota USR prot 13975 dd 15 11 2011 (file pdf 48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nota USR prot 13975 dd 15 11 2011 (file pdf 48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4935FB" w:rsidRPr="004935FB" w:rsidRDefault="004935FB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35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 xml:space="preserve"> per il riconoscimento precoce dei DSA (93%)</w:t>
      </w:r>
      <w:r w:rsidR="00A018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fldChar w:fldCharType="end"/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Piano Didattico Personalizzato Scuola secondaria (file word 387 kb) Piano Didattico Personalizzato Scuola primaria (file word 384 kb) nota USR </w:t>
      </w:r>
      <w:proofErr w:type="spell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13975 </w:t>
      </w:r>
      <w:proofErr w:type="spell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dd</w:t>
      </w:r>
      <w:proofErr w:type="spell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</w:t>
      </w:r>
      <w:proofErr w:type="gram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proofErr w:type="gram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2011 (file pdf 48 kb) Protocollo d'intesa (file pdf 90 kb) Protocollo d'intesa per il riconoscimento precoce dei </w:t>
      </w:r>
      <w:r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15 ... garantiscano agli alunni con </w:t>
      </w:r>
      <w:r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didattica individualizzata e personalizzata, </w:t>
      </w:r>
      <w:proofErr w:type="spell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idonei ... . Per quanto riguarda l’individuazione degli alunni con </w:t>
      </w:r>
      <w:r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</w:t>
      </w:r>
      <w:proofErr w:type="gram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ribadisce</w:t>
      </w:r>
      <w:proofErr w:type="gram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ai sensi dell’a </w:t>
      </w:r>
      <w:proofErr w:type="spellStart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rt</w:t>
      </w:r>
      <w:proofErr w:type="spellEnd"/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. 3</w:t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17-gen-2012</w:t>
      </w:r>
      <w:proofErr w:type="gramEnd"/>
      <w:r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15.47.58</w:t>
      </w:r>
      <w:r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Rilevazione alunni con diagnosi di DSA - aggiornamento 12 marzo (79%)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cheda di monitoraggio istituzioni paritarie (file pdf 109 kb) (rettificato) scheda di monitoraggio istituzioni statali (file pdf 113 kb) (rettificato) nota USR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455 del 18.01.2012 (file pdf 136 kb) Rilevazione alunni con diagnosi di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aggiornamento 12 marzo Avviso del 12 marzo: la chiusura della rilevazione è prorogata al 19 marzo a causa di problemi tecnici sulla casella di posta 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...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, frequentanti le scuole primarie e secondarie della regione per rispondere alla richiesta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24-apr-2012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11.41.33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Corso 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di 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informazione - formazione: "I Disturbi Specifici dell’Apprendimento (D.S.A.)" (58%)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Legge nr 170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8.10.2010 (file pdf 62 kb) Programma del corso versione definitiva (file pdf 63 kb) nota USR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. A00DRFR/3467 del 01.03.2011 (file pdf 51 kb) Questionario di gradimento del corso da compilare on line entro il 30.07.2011 (chiuso) Corso di informazione - formazione: "I Disturbi Specifici dell’Apprendimento (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)" Con la pubblicazione sulla Gazzetta Ufficiale (Serie Generale n. 244 del 18 ottobre 2010) della Legge 8 ottobre 2010 n. 170 “ Nuove norme in materia di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5-gen-2012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16.08.13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524B9" w:rsidRDefault="005524B9"/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Disturbi Specifici dell’Apprendimento (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D.S.A.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) (52%)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Specifici dell’Apprendimento (</w:t>
      </w:r>
      <w:proofErr w:type="gram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Link diretto alla pagina dedicata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serialenddate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=1301608800000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7-apr-2011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11.50.17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Questionario rilevazione gradimento (42%)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uriosità|in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di genitore di un minore con </w:t>
      </w:r>
      <w:proofErr w:type="spell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|altro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(specificare) |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si'|no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| |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si'|no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|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gradimento_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altro (specificare) 9.5) migliorare l’interazione tra scuola, famiglia e ... secondo modulo di formazione sugli aspetti teorici dei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sulle modalità di intervento in ambito ... Questionario gradimento corso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9.3) sviluppare nuove competenze 9.2) migliorare la propria attività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9-giu-2011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14.36.30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Corso sui disturbi specifici dell'apprendimento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workplace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admin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ultralight.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captchapreset</w:t>
      </w:r>
      <w:proofErr w:type="spellEnd"/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Cognome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checkbox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 Classe di concorso di abilitazione (es.: a042; aa=infanzia;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ee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=elementare) email E-mail personale E-mail personale </w:t>
      </w:r>
      <w:proofErr w:type="spell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_ins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Docente a tempo indeterminato (si/no)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 meccanografico istituto di servizio The text of the email,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macros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%(date) for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current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date and %(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formdata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placefolder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values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 be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used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NO|SI text Ufficio Scolastico Regionale Friuli Venezia Giulia Rilevazione iscritti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21-mar-2011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12.54.18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Corso sui disturbi specifici dell'apprendimento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workplace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admin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ultralight.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captchapreset</w:t>
      </w:r>
      <w:proofErr w:type="spellEnd"/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Cognome Nome si Codice meccanografico istituto di servizio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checkbox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acconsento al trattamento dei dati personali ai sensi del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196/03 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esclusivamente per tutte le operazioni legate alla gestione dell’evento per il quale si sta procedendo all’iscrizione; in assenza di tale autorizzazione sarà impossibile procedere all’iscrizione E-mail personale </w:t>
      </w:r>
      <w:proofErr w:type="spell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_ds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personale Prenotazione pranzo del 1 aprile 2011 presso ISIS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21-mar-2011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12.55.06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Corso sui disturbi specifici dell'apprendimento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workplace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admin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ultralight.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captchapreset</w:t>
      </w:r>
      <w:proofErr w:type="spellEnd"/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Cognome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checkbox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 Tipologia ente di appartenenza Ente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locale|Struttura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sanitaria|Genitori|AID|altro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email E-mail di recapito E-mail di recapito </w:t>
      </w:r>
      <w:proofErr w:type="spell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_ev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Denominazione ente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Qualifica The text of the email,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macros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%(date) for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current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date and %(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formdata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placefolder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the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values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 be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used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text Ufficio Scolastico Regionale Friuli Venezia Giulia Rilevazione iscritti seminario disturbi specifici di apprendimento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21-mar-2011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12.55.45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Default="004935FB"/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Progetti 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di 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integrazione ed accoglienza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Disturbi Specifici dell'Apprendimento: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ADHD - Disturbo da Deficit di Attenzione/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Iperattivita'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scuola in ospedale: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disabilita'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alunni stranieri: referente Alida Misso disagio giovanile: referente Alida Misso 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/schede/attiva/ 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/comunicazioni/articolo/ Progetti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integrazione ed accoglienza 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5-gen-2012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16.18.52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Formazione personale docente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accompagnamento - Percorsi di formazione docenti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Riordino della scuola secondaria di II grado (scadenza 30.09.2010) Corso di formazione-azione per docenti della Scuola secondaria di II grado : La didattica per competenze (Udine 11.05.2011) 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/comunicazioni/articolo/ Corso di formazione - informazione: I Disturbi Specifici dell’Apprendimento (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) - Udine 1, 8, 15 aprile 2011 neoassunti 2010/2011 : ricognizione del personale docente ed educativo (scadenza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25-nov-2011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11.24.58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proofErr w:type="spell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Colcergnan</w:t>
        </w:r>
        <w:proofErr w:type="spell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Edda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Referente per l’integrazione scolastica degli alunni disabili e con bisogni educativi specifici; Referente per la formazione degli insegnanti di sostegno e per la formazione sui disturbi specifici di apprendimento; Referente per scuola in ospedale e per l’istruzione domiciliare; Raccolta e valutazione dati per l’organico degli insegnanti di sostegno; Referente per gli alunni con deficit dell’attenzione e iperattività (ADHD); Referente per gli alunni con disturbi specifici di apprendimento (</w:t>
      </w:r>
      <w:proofErr w:type="gramStart"/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26-nov-2012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18.01.03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Progetti della scuola 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a.sc.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2011/2012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Cosulich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Pestalozzi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 Livia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Cosulich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Integrazione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accoglienza: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Disturbi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14-feb-2013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11.32.28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Formazione personale docente 2010/2011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accompagnamento - Percorsi di formazione docenti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Riordino della scuola secondaria di II grado (scadenza 30.09.2010) Corso di formazione-azione per docenti della Scuola secondaria di II grado : La didattica per competenze (Udine 11.05.2011) 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categories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/comunicazioni/articolo/ Corso di formazione - informazione: I Disturbi Specifici dell’Apprendimento (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) - Udine 1, 8, 15 aprile 2011 neoassunti 2010/2011 : ricognizione del personale docente ed educativo (scadenza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25-mar-2013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17.58.09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Default="004935FB"/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Disturbi Specifici dell'Apprendimento: indicazioni operative (21%)</w:t>
        </w:r>
        <w:proofErr w:type="gramStart"/>
      </w:hyperlink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 fine di rispondere alle sollecitazioni pervenute a vario titolo dall’Associazione Italiana Dislessia, in particolare dalla Sezione provinciale di Trieste, e da numerosi genitori preoccupati della situazione dei propri figli con diagnosi di disturbo specifico dell’apprendimento, si ritiene opportuno riprendere alcuni aspetti che la Legge 170/2010 e il successivo decreto applicativo del 12 luglio 2011, con allegate le Linee guida,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assicurare agli alunni e agli studenti con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D.S.A.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19-giu-2013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15.56.30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Progetti - 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Tematiche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(21%)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Cittadinanza, Costituzione e Legalità: Cittadinanza e Costituzione: referente Livia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Cosulich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Educazione </w:t>
      </w:r>
      <w:proofErr w:type="gram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 finanziaria</w:t>
      </w:r>
      <w:proofErr w:type="gram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referente: Livia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Cosulich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Integrazione ed accoglienza: </w:t>
      </w:r>
      <w:r w:rsidR="004935FB" w:rsidRPr="004935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DSA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Disturbi Specifici dell'Apprendimento: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ADHD - Disturbo da Deficit di Attenzione/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Iperattivita'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scuola in ospedale: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disabilita'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referente Edda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Colcergnan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alunni stranieri e </w:t>
      </w:r>
      <w:proofErr w:type="spellStart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intercultura</w:t>
      </w:r>
      <w:proofErr w:type="spellEnd"/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>: referente Alida Misso disagio giovanile e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18-ott-2013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12.56.28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Pr="004935FB" w:rsidRDefault="009E6C8D" w:rsidP="0049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Attivazione Master di 1° livello/Corso di aggiornamento “Didattica e psicopatologia per i Disturbi Specifici dell’Apprendimento”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. </w:t>
        </w:r>
        <w:proofErr w:type="gramStart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(10%</w:t>
        </w:r>
        <w:proofErr w:type="gramEnd"/>
        <w:r w:rsidR="004935FB" w:rsidRPr="004935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)</w:t>
        </w:r>
      </w:hyperlink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proofErr w:type="gramStart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>1-giu-2012</w:t>
      </w:r>
      <w:proofErr w:type="gramEnd"/>
      <w:r w:rsidR="004935FB" w:rsidRPr="004935F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10.59.20</w:t>
      </w:r>
      <w:r w:rsidR="004935FB" w:rsidRPr="004935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35FB" w:rsidRDefault="004935FB"/>
    <w:p w:rsidR="0094237C" w:rsidRPr="0094237C" w:rsidRDefault="0094237C" w:rsidP="0094237C">
      <w:pPr>
        <w:spacing w:before="9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83A8D"/>
          <w:sz w:val="28"/>
          <w:szCs w:val="28"/>
          <w:lang w:eastAsia="it-IT"/>
        </w:rPr>
      </w:pPr>
      <w:r w:rsidRPr="0094237C">
        <w:rPr>
          <w:rFonts w:ascii="Times New Roman" w:eastAsia="Times New Roman" w:hAnsi="Times New Roman" w:cs="Times New Roman"/>
          <w:b/>
          <w:bCs/>
          <w:color w:val="183A8D"/>
          <w:sz w:val="28"/>
          <w:szCs w:val="28"/>
          <w:lang w:eastAsia="it-IT"/>
        </w:rPr>
        <w:t>Protocollo d'intesa per il riconoscimento precoce dei DSA</w:t>
      </w:r>
    </w:p>
    <w:p w:rsidR="0094237C" w:rsidRPr="0094237C" w:rsidRDefault="0094237C" w:rsidP="0094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15 novembre 2011 </w:t>
      </w:r>
      <w:proofErr w:type="spellStart"/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sottoscritto un protocollo d’intesa tra Ufficio Scolastico Regionale, IRCCS Burlo Garofolo di Trieste, Facoltà di Scienze della Formazione di Trieste e Associazione Italiana Dislessia finalizzato a promuovere e a sostenere gli interventi scolastici per il riconoscimento precoce dei disturbi specifici dell’apprendimento e le misure a sostegno del successo formativo degli alunni frequentanti le scuole di ogni ordine e grado della regione.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Parte integrante del presente protocollo è lo schema di Piano Didattico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Personalizzato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distinto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due sezioni: Scuola primaria e Scuola secondaria, mediante il quale s’i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ntende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offrire alle scuole un modello condiviso e omogeneo sul territorio regionale.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Linee Guida allegate al Decreto del Ministero dell’Istruzione, dell’Università e della Ricerca, </w:t>
      </w:r>
      <w:proofErr w:type="spellStart"/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5669 del 12 luglio 2011, prevedono, infatti, che le istituzioni scolastiche garantiscano agli alunni con DSA una didattica individualizzata e personalizzata,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idonei strumenti compensativi e misure dispensative, esplicitando e formalizzando, entro il primo trimestre di scuola, un documento utile sia alla continuità didattica che alla condivisione con le famiglie delle iniziative che si intendono intraprendere.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Particolare importanza riveste inoltre il rapporto con le famiglie, che 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necessitano di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informate con professionalità e costanza sulle strategie didattiche adottate dagli insegnanti,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modalità di verifica e sui risultasti attesi e ottenuti. </w:t>
      </w:r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riguarda l’individuazione degli alunni con DSA, si </w:t>
      </w:r>
      <w:proofErr w:type="gram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ribadisce</w:t>
      </w:r>
      <w:proofErr w:type="gram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ai sensi dell’a </w:t>
      </w:r>
      <w:proofErr w:type="spellStart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rt</w:t>
      </w:r>
      <w:proofErr w:type="spellEnd"/>
      <w:r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>. 3, c. 1, della legge 170/10, la diagnosi è effettuata dal Servizio Sanitario Nazionale e dalle Strutture sanitarie accreditate in ambito regionale.</w:t>
      </w:r>
    </w:p>
    <w:p w:rsidR="0094237C" w:rsidRPr="0094237C" w:rsidRDefault="009E6C8D" w:rsidP="0094237C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ooltip="Protocollo d'intesa (file pdf 90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Protocollo d'intesa (file pdf </w:t>
        </w:r>
        <w:proofErr w:type="gramStart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90</w:t>
        </w:r>
        <w:proofErr w:type="gramEnd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ooltip="Piano Didattico Personalizzato Scuola primaria (file word 384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Piano Didattico Personalizzato Scuola primaria (file word 384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ooltip="Piano Didattico Personalizzato Scuola secondaria (file word 387 kb) [il collegamento apre una nuova finestra]" w:history="1"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Piano Didattico Personalizzato Scuola secondaria (file word 387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94237C" w:rsidRPr="0094237C" w:rsidRDefault="009E6C8D" w:rsidP="0094237C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ooltip="nota USR prot 13975 dd 15 11 2011 (file pdf 48 kb) [il collegamento apre una nuova finestra]" w:history="1">
        <w:proofErr w:type="gramStart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nota</w:t>
        </w:r>
        <w:proofErr w:type="gramEnd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USR </w:t>
        </w:r>
        <w:proofErr w:type="spellStart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</w:t>
        </w:r>
        <w:proofErr w:type="spellEnd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13975 </w:t>
        </w:r>
        <w:proofErr w:type="spellStart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dd</w:t>
        </w:r>
        <w:proofErr w:type="spellEnd"/>
        <w:r w:rsidR="0094237C" w:rsidRPr="00942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15 11 2011 (file pdf 48 kb)</w:t>
        </w:r>
      </w:hyperlink>
      <w:r w:rsidR="0094237C" w:rsidRPr="009423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&gt;</w:t>
      </w:r>
    </w:p>
    <w:p w:rsidR="004935FB" w:rsidRDefault="004935FB"/>
    <w:sectPr w:rsidR="00493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28"/>
    <w:multiLevelType w:val="multilevel"/>
    <w:tmpl w:val="9DC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37209"/>
    <w:multiLevelType w:val="multilevel"/>
    <w:tmpl w:val="457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B"/>
    <w:rsid w:val="002A4BE4"/>
    <w:rsid w:val="004935FB"/>
    <w:rsid w:val="005524B9"/>
    <w:rsid w:val="00841E09"/>
    <w:rsid w:val="0094237C"/>
    <w:rsid w:val="009E6C8D"/>
    <w:rsid w:val="00A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4237C"/>
    <w:pPr>
      <w:spacing w:before="90" w:after="75" w:line="240" w:lineRule="auto"/>
      <w:outlineLvl w:val="2"/>
    </w:pPr>
    <w:rPr>
      <w:rFonts w:ascii="Times New Roman" w:eastAsia="Times New Roman" w:hAnsi="Times New Roman" w:cs="Times New Roman"/>
      <w:b/>
      <w:bCs/>
      <w:color w:val="183A8D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4237C"/>
    <w:rPr>
      <w:rFonts w:ascii="Times New Roman" w:eastAsia="Times New Roman" w:hAnsi="Times New Roman" w:cs="Times New Roman"/>
      <w:b/>
      <w:bCs/>
      <w:color w:val="183A8D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23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4237C"/>
    <w:pPr>
      <w:spacing w:before="90" w:after="75" w:line="240" w:lineRule="auto"/>
      <w:outlineLvl w:val="2"/>
    </w:pPr>
    <w:rPr>
      <w:rFonts w:ascii="Times New Roman" w:eastAsia="Times New Roman" w:hAnsi="Times New Roman" w:cs="Times New Roman"/>
      <w:b/>
      <w:bCs/>
      <w:color w:val="183A8D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4237C"/>
    <w:rPr>
      <w:rFonts w:ascii="Times New Roman" w:eastAsia="Times New Roman" w:hAnsi="Times New Roman" w:cs="Times New Roman"/>
      <w:b/>
      <w:bCs/>
      <w:color w:val="183A8D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23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.fvg.it/usr/export/sites/default/USRFVG/allegati/archivio_file/Disturbi_apprendimento/PDP-SECONDARIA.doc" TargetMode="External"/><Relationship Id="rId13" Type="http://schemas.openxmlformats.org/officeDocument/2006/relationships/hyperlink" Target="http://www.scuola.fvg.it/usr/fvg/USRFVG/Sistema_scolastico/rilevazioni/archivio_schede/questionario" TargetMode="External"/><Relationship Id="rId18" Type="http://schemas.openxmlformats.org/officeDocument/2006/relationships/hyperlink" Target="http://www.scuola.fvg.it/usr/fvg/USRFVG/Personale_scuola/formazione/formaz_docenti/archivio_2010/index.html" TargetMode="External"/><Relationship Id="rId26" Type="http://schemas.openxmlformats.org/officeDocument/2006/relationships/hyperlink" Target="http://www.scuola.fvg.it/usr/export/sites/default/USRFVG/allegati/archivio_file/Disturbi_apprendimento/PDP-PRIMARI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uola.fvg.it/usr/fvg/USRFVG/Formazione/formaz_docenti/archivio_2010/index.html" TargetMode="External"/><Relationship Id="rId7" Type="http://schemas.openxmlformats.org/officeDocument/2006/relationships/hyperlink" Target="http://www.scuola.fvg.it/usr/export/sites/default/USRFVG/allegati/archivio_file/Disturbi_apprendimento/PDP-PRIMARIA.doc" TargetMode="External"/><Relationship Id="rId12" Type="http://schemas.openxmlformats.org/officeDocument/2006/relationships/hyperlink" Target="http://www.scuola.fvg.it/usr/fvg/USRFVG/Ufficio/Informazioni/calendario/2011/dsa" TargetMode="External"/><Relationship Id="rId17" Type="http://schemas.openxmlformats.org/officeDocument/2006/relationships/hyperlink" Target="http://www.scuola.fvg.it/usr/fvg/USRFVG/Progetti_scuola/integrazione/index.html" TargetMode="External"/><Relationship Id="rId25" Type="http://schemas.openxmlformats.org/officeDocument/2006/relationships/hyperlink" Target="http://www.scuola.fvg.it/usr/export/sites/default/USRFVG/allegati/archivio_file/Disturbi_apprendimento/PROTOCOLLO_INTESA_DS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uola.fvg.it/usr/fvg/USRFVG/Sistema_scolastico/rilevazioni/archivio_schede/dsa_ev" TargetMode="External"/><Relationship Id="rId20" Type="http://schemas.openxmlformats.org/officeDocument/2006/relationships/hyperlink" Target="http://www.scuola.fvg.it/usr/fvg/USRFVG/Progetti_scuola/Progetti2011_12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uola.fvg.it/usr/export/sites/default/USRFVG/allegati/archivio_file/Disturbi_apprendimento/PROTOCOLLO_INTESA_DSA.pdf" TargetMode="External"/><Relationship Id="rId11" Type="http://schemas.openxmlformats.org/officeDocument/2006/relationships/hyperlink" Target="http://www.scuola.fvg.it/usr/fvg/USRFVG/Progetti_scuola/integrazione/DSA/formazione" TargetMode="External"/><Relationship Id="rId24" Type="http://schemas.openxmlformats.org/officeDocument/2006/relationships/hyperlink" Target="http://www.scuola.fvg.it/usr/fvg/USRFVG/Progetti_scuola/integrazione/DSA/master_univers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uola.fvg.it/usr/fvg/USRFVG/Sistema_scolastico/rilevazioni/archivio_schede/dsa_ds" TargetMode="External"/><Relationship Id="rId23" Type="http://schemas.openxmlformats.org/officeDocument/2006/relationships/hyperlink" Target="http://www.scuola.fvg.it/usr/fvg/USRFVG/Progetti_scuola/index.html" TargetMode="External"/><Relationship Id="rId28" Type="http://schemas.openxmlformats.org/officeDocument/2006/relationships/hyperlink" Target="http://www.scuola.fvg.it/usr/export/sites/default/USRFVG/allegati/archivio_file/Disturbi_apprendimento/nota_USR_prot_13975_dd_15_11_2011.pdf" TargetMode="External"/><Relationship Id="rId10" Type="http://schemas.openxmlformats.org/officeDocument/2006/relationships/hyperlink" Target="http://www.scuola.fvg.it/usr/fvg/USRFVG/Progetti_scuola/integrazione/DSA/monitoraggio_dsa.html" TargetMode="External"/><Relationship Id="rId19" Type="http://schemas.openxmlformats.org/officeDocument/2006/relationships/hyperlink" Target="http://www.scuola.fvg.it/usr/fvg/USRFVG/Ufficio/organigramma/rubrica/colcerg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.fvg.it/usr/export/sites/default/USRFVG/allegati/archivio_file/Disturbi_apprendimento/nota_USR_prot_13975_dd_15_11_2011.pdf" TargetMode="External"/><Relationship Id="rId14" Type="http://schemas.openxmlformats.org/officeDocument/2006/relationships/hyperlink" Target="http://www.scuola.fvg.it/usr/fvg/USRFVG/Sistema_scolastico/rilevazioni/archivio_schede/dsa" TargetMode="External"/><Relationship Id="rId22" Type="http://schemas.openxmlformats.org/officeDocument/2006/relationships/hyperlink" Target="http://www.scuola.fvg.it/usr/fvg/USRFVG/Progetti_scuola/integrazione/DSA/indicazioni_operative" TargetMode="External"/><Relationship Id="rId27" Type="http://schemas.openxmlformats.org/officeDocument/2006/relationships/hyperlink" Target="http://www.scuola.fvg.it/usr/export/sites/default/USRFVG/allegati/archivio_file/Disturbi_apprendimento/PDP-SECONDARIA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dcterms:created xsi:type="dcterms:W3CDTF">2013-11-17T14:29:00Z</dcterms:created>
  <dcterms:modified xsi:type="dcterms:W3CDTF">2013-11-21T15:13:00Z</dcterms:modified>
</cp:coreProperties>
</file>